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22CD172">
      <w:pPr>
        <w:pStyle w:val="7"/>
        <w:spacing w:before="0" w:beforeAutospacing="0" w:after="0"/>
        <w:jc w:val="center"/>
        <w:rPr>
          <w:b/>
          <w:bCs/>
          <w:sz w:val="30"/>
          <w:szCs w:val="30"/>
        </w:rPr>
      </w:pPr>
      <w:bookmarkStart w:id="0" w:name="_Hlk74947636"/>
      <w:r>
        <w:rPr>
          <w:b/>
          <w:bCs/>
          <w:sz w:val="30"/>
          <w:szCs w:val="30"/>
        </w:rPr>
        <w:t xml:space="preserve">COMISSÃO DE CONSTITUIÇÃO, JUSTIÇA E REDAÇÃO </w:t>
      </w:r>
    </w:p>
    <w:p w14:paraId="6AD96325">
      <w:pPr>
        <w:pStyle w:val="7"/>
        <w:spacing w:before="0" w:beforeAutospacing="0" w:after="0"/>
        <w:jc w:val="center"/>
        <w:rPr>
          <w:b/>
          <w:bCs/>
          <w:sz w:val="30"/>
          <w:szCs w:val="30"/>
        </w:rPr>
      </w:pPr>
    </w:p>
    <w:tbl>
      <w:tblPr>
        <w:tblStyle w:val="6"/>
        <w:tblW w:w="11057"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7"/>
      </w:tblGrid>
      <w:tr w14:paraId="7880CE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7" w:type="dxa"/>
          </w:tcPr>
          <w:p w14:paraId="39588BFF">
            <w:pPr>
              <w:spacing w:after="0" w:line="240" w:lineRule="auto"/>
              <w:jc w:val="center"/>
              <w:rPr>
                <w:rFonts w:ascii="Times New Roman" w:hAnsi="Times New Roman" w:eastAsia="SimSun" w:cs="Times New Roman"/>
                <w:b/>
                <w:sz w:val="27"/>
                <w:szCs w:val="27"/>
                <w:lang w:eastAsia="pt-BR"/>
              </w:rPr>
            </w:pPr>
            <w:r>
              <w:rPr>
                <w:rFonts w:ascii="Times New Roman" w:hAnsi="Times New Roman" w:eastAsia="SimSun" w:cs="Times New Roman"/>
                <w:b/>
                <w:sz w:val="27"/>
                <w:szCs w:val="27"/>
                <w:lang w:eastAsia="pt-BR"/>
              </w:rPr>
              <w:t>PASTOR DIEGO</w:t>
            </w:r>
          </w:p>
          <w:p w14:paraId="7FB1F896">
            <w:pPr>
              <w:spacing w:after="0" w:line="240" w:lineRule="auto"/>
              <w:jc w:val="center"/>
              <w:rPr>
                <w:rFonts w:ascii="Times New Roman" w:hAnsi="Times New Roman" w:eastAsia="SimSun" w:cs="Times New Roman"/>
                <w:b/>
                <w:sz w:val="23"/>
                <w:szCs w:val="23"/>
                <w:lang w:eastAsia="pt-BR"/>
              </w:rPr>
            </w:pPr>
            <w:r>
              <w:rPr>
                <w:rFonts w:ascii="Times New Roman" w:hAnsi="Times New Roman" w:eastAsia="SimSun" w:cs="Times New Roman"/>
                <w:b/>
                <w:sz w:val="20"/>
                <w:szCs w:val="23"/>
                <w:lang w:eastAsia="pt-BR"/>
              </w:rPr>
              <w:t>PRESIDENTE</w:t>
            </w:r>
          </w:p>
        </w:tc>
      </w:tr>
      <w:tr w14:paraId="68C37F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7" w:type="dxa"/>
          </w:tcPr>
          <w:p w14:paraId="5A2F6A19">
            <w:pPr>
              <w:spacing w:after="0" w:line="240" w:lineRule="auto"/>
              <w:jc w:val="center"/>
              <w:rPr>
                <w:rFonts w:ascii="Times New Roman" w:hAnsi="Times New Roman" w:eastAsia="SimSun" w:cs="Times New Roman"/>
                <w:b/>
                <w:sz w:val="27"/>
                <w:szCs w:val="27"/>
                <w:lang w:eastAsia="pt-BR"/>
              </w:rPr>
            </w:pPr>
            <w:r>
              <w:rPr>
                <w:rFonts w:ascii="Times New Roman" w:hAnsi="Times New Roman" w:eastAsia="SimSun" w:cs="Times New Roman"/>
                <w:b/>
                <w:sz w:val="27"/>
                <w:szCs w:val="27"/>
                <w:lang w:eastAsia="pt-BR"/>
              </w:rPr>
              <w:t>SARG. BYRON</w:t>
            </w:r>
          </w:p>
          <w:p w14:paraId="766E0F0B">
            <w:pPr>
              <w:spacing w:after="0" w:line="240" w:lineRule="auto"/>
              <w:jc w:val="center"/>
              <w:rPr>
                <w:rFonts w:ascii="Times New Roman" w:hAnsi="Times New Roman" w:eastAsia="SimSun" w:cs="Times New Roman"/>
                <w:b/>
                <w:sz w:val="20"/>
                <w:szCs w:val="20"/>
                <w:lang w:eastAsia="pt-BR"/>
              </w:rPr>
            </w:pPr>
            <w:r>
              <w:rPr>
                <w:rFonts w:ascii="Times New Roman" w:hAnsi="Times New Roman" w:eastAsia="SimSun" w:cs="Times New Roman"/>
                <w:b/>
                <w:sz w:val="20"/>
                <w:szCs w:val="20"/>
                <w:lang w:eastAsia="pt-BR"/>
              </w:rPr>
              <w:t>SECRETÁRIO</w:t>
            </w:r>
          </w:p>
        </w:tc>
      </w:tr>
    </w:tbl>
    <w:p w14:paraId="68BA6840">
      <w:pPr>
        <w:spacing w:after="0"/>
        <w:jc w:val="both"/>
        <w:rPr>
          <w:rFonts w:ascii="Times New Roman" w:hAnsi="Times New Roman" w:cs="Times New Roman"/>
          <w:b/>
          <w:sz w:val="26"/>
          <w:szCs w:val="26"/>
        </w:rPr>
      </w:pPr>
    </w:p>
    <w:p w14:paraId="70481AEF">
      <w:pPr>
        <w:spacing w:after="0"/>
        <w:jc w:val="center"/>
        <w:rPr>
          <w:rFonts w:hint="default" w:ascii="Times New Roman" w:hAnsi="Times New Roman" w:cs="Times New Roman"/>
          <w:b/>
          <w:sz w:val="26"/>
          <w:szCs w:val="26"/>
          <w:lang w:val="pt-BR"/>
        </w:rPr>
      </w:pPr>
      <w:r>
        <w:rPr>
          <w:rFonts w:ascii="Times New Roman" w:hAnsi="Times New Roman" w:cs="Times New Roman"/>
          <w:b/>
          <w:sz w:val="26"/>
          <w:szCs w:val="26"/>
        </w:rPr>
        <w:t>PAUTA DA REUNIÃO ORDINÁRIA DO DIA</w:t>
      </w:r>
      <w:r>
        <w:rPr>
          <w:rFonts w:hint="default" w:ascii="Times New Roman" w:hAnsi="Times New Roman" w:cs="Times New Roman"/>
          <w:b/>
          <w:sz w:val="26"/>
          <w:szCs w:val="26"/>
          <w:lang w:val="pt-BR"/>
        </w:rPr>
        <w:t xml:space="preserve"> 25</w:t>
      </w:r>
      <w:r>
        <w:rPr>
          <w:rFonts w:ascii="Times New Roman" w:hAnsi="Times New Roman" w:cs="Times New Roman"/>
          <w:b/>
          <w:sz w:val="26"/>
          <w:szCs w:val="26"/>
        </w:rPr>
        <w:t xml:space="preserve"> DE</w:t>
      </w:r>
      <w:r>
        <w:rPr>
          <w:rFonts w:hint="default" w:ascii="Times New Roman" w:hAnsi="Times New Roman" w:cs="Times New Roman"/>
          <w:b/>
          <w:sz w:val="26"/>
          <w:szCs w:val="26"/>
          <w:lang w:val="pt-BR"/>
        </w:rPr>
        <w:t xml:space="preserve"> JUNHO </w:t>
      </w:r>
      <w:r>
        <w:rPr>
          <w:rFonts w:ascii="Times New Roman" w:hAnsi="Times New Roman" w:cs="Times New Roman"/>
          <w:b/>
          <w:sz w:val="26"/>
          <w:szCs w:val="26"/>
        </w:rPr>
        <w:t>DE 202</w:t>
      </w:r>
      <w:r>
        <w:rPr>
          <w:rFonts w:hint="default" w:ascii="Times New Roman" w:hAnsi="Times New Roman" w:cs="Times New Roman"/>
          <w:b/>
          <w:sz w:val="26"/>
          <w:szCs w:val="26"/>
          <w:lang w:val="pt-BR"/>
        </w:rPr>
        <w:t>4</w:t>
      </w:r>
    </w:p>
    <w:bookmarkEnd w:id="0"/>
    <w:tbl>
      <w:tblPr>
        <w:tblStyle w:val="6"/>
        <w:tblpPr w:leftFromText="180" w:rightFromText="180" w:vertAnchor="text" w:horzAnchor="page" w:tblpX="541" w:tblpY="114"/>
        <w:tblOverlap w:val="never"/>
        <w:tblW w:w="11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5650"/>
        <w:gridCol w:w="1966"/>
        <w:gridCol w:w="1592"/>
      </w:tblGrid>
      <w:tr w14:paraId="25F0EA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23C1069F">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MATÉRIA</w:t>
            </w:r>
          </w:p>
        </w:tc>
        <w:tc>
          <w:tcPr>
            <w:tcW w:w="5650" w:type="dxa"/>
          </w:tcPr>
          <w:p w14:paraId="2E430300">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ASSUNTO</w:t>
            </w:r>
          </w:p>
        </w:tc>
        <w:tc>
          <w:tcPr>
            <w:tcW w:w="1966" w:type="dxa"/>
          </w:tcPr>
          <w:p w14:paraId="5A93B8DC">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AUTORIA</w:t>
            </w:r>
          </w:p>
        </w:tc>
        <w:tc>
          <w:tcPr>
            <w:tcW w:w="1592" w:type="dxa"/>
          </w:tcPr>
          <w:p w14:paraId="07BBCF30">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RELATORIA</w:t>
            </w:r>
          </w:p>
        </w:tc>
      </w:tr>
      <w:tr w14:paraId="1F0736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5A7755E7">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Resolução nº 8/2024</w:t>
            </w:r>
          </w:p>
        </w:tc>
        <w:tc>
          <w:tcPr>
            <w:tcW w:w="5650" w:type="dxa"/>
          </w:tcPr>
          <w:p w14:paraId="6D36D23D">
            <w:pPr>
              <w:spacing w:after="0" w:line="240" w:lineRule="auto"/>
              <w:jc w:val="both"/>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C</w:t>
            </w:r>
            <w:r>
              <w:rPr>
                <w:rFonts w:ascii="Times New Roman" w:hAnsi="Times New Roman" w:eastAsia="SimSun" w:cs="Times New Roman"/>
                <w:b/>
                <w:sz w:val="22"/>
                <w:szCs w:val="22"/>
                <w:lang w:eastAsia="pt-BR"/>
              </w:rPr>
              <w:t xml:space="preserve">ria no âmbito da </w:t>
            </w:r>
            <w:r>
              <w:rPr>
                <w:rFonts w:hint="default" w:ascii="Times New Roman" w:hAnsi="Times New Roman" w:eastAsia="SimSun" w:cs="Times New Roman"/>
                <w:b/>
                <w:sz w:val="22"/>
                <w:szCs w:val="22"/>
                <w:lang w:val="en-US" w:eastAsia="pt-BR"/>
              </w:rPr>
              <w:t>C</w:t>
            </w:r>
            <w:r>
              <w:rPr>
                <w:rFonts w:ascii="Times New Roman" w:hAnsi="Times New Roman" w:eastAsia="SimSun" w:cs="Times New Roman"/>
                <w:b/>
                <w:sz w:val="22"/>
                <w:szCs w:val="22"/>
                <w:lang w:eastAsia="pt-BR"/>
              </w:rPr>
              <w:t xml:space="preserve">âmara </w:t>
            </w:r>
            <w:r>
              <w:rPr>
                <w:rFonts w:hint="default" w:ascii="Times New Roman" w:hAnsi="Times New Roman" w:eastAsia="SimSun" w:cs="Times New Roman"/>
                <w:b/>
                <w:sz w:val="22"/>
                <w:szCs w:val="22"/>
                <w:lang w:val="en-US" w:eastAsia="pt-BR"/>
              </w:rPr>
              <w:t>M</w:t>
            </w:r>
            <w:r>
              <w:rPr>
                <w:rFonts w:ascii="Times New Roman" w:hAnsi="Times New Roman" w:eastAsia="SimSun" w:cs="Times New Roman"/>
                <w:b/>
                <w:sz w:val="22"/>
                <w:szCs w:val="22"/>
                <w:lang w:eastAsia="pt-BR"/>
              </w:rPr>
              <w:t xml:space="preserve">unicipal de </w:t>
            </w:r>
            <w:r>
              <w:rPr>
                <w:rFonts w:hint="default" w:ascii="Times New Roman" w:hAnsi="Times New Roman" w:eastAsia="SimSun" w:cs="Times New Roman"/>
                <w:b/>
                <w:sz w:val="22"/>
                <w:szCs w:val="22"/>
                <w:lang w:val="en-US" w:eastAsia="pt-BR"/>
              </w:rPr>
              <w:t>A</w:t>
            </w:r>
            <w:r>
              <w:rPr>
                <w:rFonts w:ascii="Times New Roman" w:hAnsi="Times New Roman" w:eastAsia="SimSun" w:cs="Times New Roman"/>
                <w:b/>
                <w:sz w:val="22"/>
                <w:szCs w:val="22"/>
                <w:lang w:eastAsia="pt-BR"/>
              </w:rPr>
              <w:t>racaju a frente parlamentar para a prevenção, diagnóstico e tratamento do diabetes mellitus 1 - dm1</w:t>
            </w:r>
          </w:p>
          <w:p w14:paraId="19E5B097">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w:t>
            </w:r>
          </w:p>
        </w:tc>
        <w:tc>
          <w:tcPr>
            <w:tcW w:w="1966" w:type="dxa"/>
          </w:tcPr>
          <w:p w14:paraId="39FE1BEA">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Vários Vereadores</w:t>
            </w:r>
          </w:p>
        </w:tc>
        <w:tc>
          <w:tcPr>
            <w:tcW w:w="1592" w:type="dxa"/>
          </w:tcPr>
          <w:p w14:paraId="45703C2C">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14:paraId="730092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1949D60A">
            <w:pPr>
              <w:spacing w:after="0" w:line="240" w:lineRule="auto"/>
              <w:jc w:val="center"/>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Projeto de Resolução nº 14/2024</w:t>
            </w:r>
          </w:p>
        </w:tc>
        <w:tc>
          <w:tcPr>
            <w:tcW w:w="5650" w:type="dxa"/>
          </w:tcPr>
          <w:p w14:paraId="00CF6D98">
            <w:pPr>
              <w:spacing w:after="0" w:line="240" w:lineRule="auto"/>
              <w:jc w:val="both"/>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Ratifica e homologa o Ato nº 15 de 28 de maio de 2024, que aprova o Manual de Procedimentos do Controle Interno no âmbito da Câmara Municipal de Aracaju. </w:t>
            </w:r>
          </w:p>
          <w:p w14:paraId="4B8A911D">
            <w:pPr>
              <w:spacing w:after="0" w:line="240" w:lineRule="auto"/>
              <w:jc w:val="both"/>
              <w:rPr>
                <w:rFonts w:hint="default" w:ascii="Times New Roman" w:hAnsi="Times New Roman" w:eastAsia="SimSun" w:cs="Times New Roman"/>
                <w:b/>
                <w:sz w:val="22"/>
                <w:szCs w:val="22"/>
                <w:lang w:val="en-US" w:eastAsia="pt-BR"/>
              </w:rPr>
            </w:pPr>
          </w:p>
        </w:tc>
        <w:tc>
          <w:tcPr>
            <w:tcW w:w="1966" w:type="dxa"/>
          </w:tcPr>
          <w:p w14:paraId="40FEF9C6">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Mesa Diretora</w:t>
            </w:r>
          </w:p>
        </w:tc>
        <w:tc>
          <w:tcPr>
            <w:tcW w:w="1592" w:type="dxa"/>
          </w:tcPr>
          <w:p w14:paraId="67A63210">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Pastor Diego</w:t>
            </w:r>
          </w:p>
        </w:tc>
      </w:tr>
      <w:tr w14:paraId="212AB2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3A54F4A1">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86/2024</w:t>
            </w:r>
          </w:p>
        </w:tc>
        <w:tc>
          <w:tcPr>
            <w:tcW w:w="5650" w:type="dxa"/>
          </w:tcPr>
          <w:p w14:paraId="41C27406">
            <w:pPr>
              <w:spacing w:after="0" w:line="240" w:lineRule="auto"/>
              <w:jc w:val="both"/>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R</w:t>
            </w:r>
            <w:r>
              <w:rPr>
                <w:rFonts w:ascii="Times New Roman" w:hAnsi="Times New Roman" w:eastAsia="SimSun" w:cs="Times New Roman"/>
                <w:b/>
                <w:sz w:val="22"/>
                <w:szCs w:val="22"/>
                <w:lang w:eastAsia="pt-BR"/>
              </w:rPr>
              <w:t xml:space="preserve">econhece a utilidade pública da </w:t>
            </w:r>
            <w:r>
              <w:rPr>
                <w:rFonts w:hint="default" w:ascii="Times New Roman" w:hAnsi="Times New Roman" w:eastAsia="SimSun" w:cs="Times New Roman"/>
                <w:b/>
                <w:sz w:val="22"/>
                <w:szCs w:val="22"/>
                <w:lang w:val="en-US" w:eastAsia="pt-BR"/>
              </w:rPr>
              <w:t>A</w:t>
            </w:r>
            <w:r>
              <w:rPr>
                <w:rFonts w:ascii="Times New Roman" w:hAnsi="Times New Roman" w:eastAsia="SimSun" w:cs="Times New Roman"/>
                <w:b/>
                <w:sz w:val="22"/>
                <w:szCs w:val="22"/>
                <w:lang w:eastAsia="pt-BR"/>
              </w:rPr>
              <w:t xml:space="preserve">ssociação </w:t>
            </w:r>
            <w:r>
              <w:rPr>
                <w:rFonts w:hint="default" w:ascii="Times New Roman" w:hAnsi="Times New Roman" w:eastAsia="SimSun" w:cs="Times New Roman"/>
                <w:b/>
                <w:sz w:val="22"/>
                <w:szCs w:val="22"/>
                <w:lang w:val="en-US" w:eastAsia="pt-BR"/>
              </w:rPr>
              <w:t>C</w:t>
            </w:r>
            <w:r>
              <w:rPr>
                <w:rFonts w:ascii="Times New Roman" w:hAnsi="Times New Roman" w:eastAsia="SimSun" w:cs="Times New Roman"/>
                <w:b/>
                <w:sz w:val="22"/>
                <w:szCs w:val="22"/>
                <w:lang w:eastAsia="pt-BR"/>
              </w:rPr>
              <w:t xml:space="preserve">ultural </w:t>
            </w:r>
            <w:r>
              <w:rPr>
                <w:rFonts w:hint="default" w:ascii="Times New Roman" w:hAnsi="Times New Roman" w:eastAsia="SimSun" w:cs="Times New Roman"/>
                <w:b/>
                <w:sz w:val="22"/>
                <w:szCs w:val="22"/>
                <w:lang w:val="en-US" w:eastAsia="pt-BR"/>
              </w:rPr>
              <w:t>A</w:t>
            </w:r>
            <w:r>
              <w:rPr>
                <w:rFonts w:ascii="Times New Roman" w:hAnsi="Times New Roman" w:eastAsia="SimSun" w:cs="Times New Roman"/>
                <w:b/>
                <w:sz w:val="22"/>
                <w:szCs w:val="22"/>
                <w:lang w:eastAsia="pt-BR"/>
              </w:rPr>
              <w:t xml:space="preserve">rtes </w:t>
            </w:r>
            <w:r>
              <w:rPr>
                <w:rFonts w:hint="default" w:ascii="Times New Roman" w:hAnsi="Times New Roman" w:eastAsia="SimSun" w:cs="Times New Roman"/>
                <w:b/>
                <w:sz w:val="22"/>
                <w:szCs w:val="22"/>
                <w:lang w:val="en-US" w:eastAsia="pt-BR"/>
              </w:rPr>
              <w:t>C</w:t>
            </w:r>
            <w:r>
              <w:rPr>
                <w:rFonts w:ascii="Times New Roman" w:hAnsi="Times New Roman" w:eastAsia="SimSun" w:cs="Times New Roman"/>
                <w:b/>
                <w:sz w:val="22"/>
                <w:szCs w:val="22"/>
                <w:lang w:eastAsia="pt-BR"/>
              </w:rPr>
              <w:t xml:space="preserve">ênicas </w:t>
            </w:r>
            <w:r>
              <w:rPr>
                <w:rFonts w:hint="default" w:ascii="Times New Roman" w:hAnsi="Times New Roman" w:eastAsia="SimSun" w:cs="Times New Roman"/>
                <w:b/>
                <w:sz w:val="22"/>
                <w:szCs w:val="22"/>
                <w:lang w:val="en-US" w:eastAsia="pt-BR"/>
              </w:rPr>
              <w:t>U</w:t>
            </w:r>
            <w:r>
              <w:rPr>
                <w:rFonts w:ascii="Times New Roman" w:hAnsi="Times New Roman" w:eastAsia="SimSun" w:cs="Times New Roman"/>
                <w:b/>
                <w:sz w:val="22"/>
                <w:szCs w:val="22"/>
                <w:lang w:eastAsia="pt-BR"/>
              </w:rPr>
              <w:t xml:space="preserve">nidos em </w:t>
            </w:r>
            <w:r>
              <w:rPr>
                <w:rFonts w:hint="default" w:ascii="Times New Roman" w:hAnsi="Times New Roman" w:eastAsia="SimSun" w:cs="Times New Roman"/>
                <w:b/>
                <w:sz w:val="22"/>
                <w:szCs w:val="22"/>
                <w:lang w:val="en-US" w:eastAsia="pt-BR"/>
              </w:rPr>
              <w:t>A</w:t>
            </w:r>
            <w:r>
              <w:rPr>
                <w:rFonts w:ascii="Times New Roman" w:hAnsi="Times New Roman" w:eastAsia="SimSun" w:cs="Times New Roman"/>
                <w:b/>
                <w:sz w:val="22"/>
                <w:szCs w:val="22"/>
                <w:lang w:eastAsia="pt-BR"/>
              </w:rPr>
              <w:t xml:space="preserve">sa </w:t>
            </w:r>
            <w:r>
              <w:rPr>
                <w:rFonts w:hint="default" w:ascii="Times New Roman" w:hAnsi="Times New Roman" w:eastAsia="SimSun" w:cs="Times New Roman"/>
                <w:b/>
                <w:sz w:val="22"/>
                <w:szCs w:val="22"/>
                <w:lang w:val="en-US" w:eastAsia="pt-BR"/>
              </w:rPr>
              <w:t>B</w:t>
            </w:r>
            <w:r>
              <w:rPr>
                <w:rFonts w:ascii="Times New Roman" w:hAnsi="Times New Roman" w:eastAsia="SimSun" w:cs="Times New Roman"/>
                <w:b/>
                <w:sz w:val="22"/>
                <w:szCs w:val="22"/>
                <w:lang w:eastAsia="pt-BR"/>
              </w:rPr>
              <w:t>ranca (ACUAB).</w:t>
            </w:r>
          </w:p>
          <w:p w14:paraId="063A3286">
            <w:pPr>
              <w:spacing w:after="0" w:line="240" w:lineRule="auto"/>
              <w:jc w:val="both"/>
              <w:rPr>
                <w:rFonts w:ascii="Times New Roman" w:hAnsi="Times New Roman" w:eastAsia="SimSun" w:cs="Times New Roman"/>
                <w:b/>
                <w:sz w:val="22"/>
                <w:szCs w:val="22"/>
                <w:lang w:eastAsia="pt-BR"/>
              </w:rPr>
            </w:pPr>
          </w:p>
        </w:tc>
        <w:tc>
          <w:tcPr>
            <w:tcW w:w="1966" w:type="dxa"/>
          </w:tcPr>
          <w:p w14:paraId="1CC74E7C">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Breno Garibalde</w:t>
            </w:r>
          </w:p>
        </w:tc>
        <w:tc>
          <w:tcPr>
            <w:tcW w:w="1592" w:type="dxa"/>
          </w:tcPr>
          <w:p w14:paraId="766D8C2A">
            <w:pPr>
              <w:spacing w:after="0" w:line="240" w:lineRule="auto"/>
              <w:jc w:val="center"/>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Emília Corrêa</w:t>
            </w:r>
          </w:p>
        </w:tc>
      </w:tr>
      <w:tr w14:paraId="302C52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3DAA151D">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98/2024</w:t>
            </w:r>
          </w:p>
        </w:tc>
        <w:tc>
          <w:tcPr>
            <w:tcW w:w="5650" w:type="dxa"/>
          </w:tcPr>
          <w:p w14:paraId="0BC27035">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Denomina Rua José Gilson Meneses, no Residencial Summer Ville, bairro Aruana.</w:t>
            </w:r>
          </w:p>
          <w:p w14:paraId="361C9456">
            <w:pPr>
              <w:spacing w:after="0" w:line="240" w:lineRule="auto"/>
              <w:jc w:val="center"/>
              <w:rPr>
                <w:rFonts w:ascii="Times New Roman" w:hAnsi="Times New Roman" w:eastAsia="SimSun" w:cs="Times New Roman"/>
                <w:b/>
                <w:sz w:val="22"/>
                <w:szCs w:val="22"/>
                <w:lang w:eastAsia="pt-BR"/>
              </w:rPr>
            </w:pPr>
          </w:p>
        </w:tc>
        <w:tc>
          <w:tcPr>
            <w:tcW w:w="1966" w:type="dxa"/>
          </w:tcPr>
          <w:p w14:paraId="0C7CA412">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Ricardo Vasconcelos</w:t>
            </w:r>
          </w:p>
        </w:tc>
        <w:tc>
          <w:tcPr>
            <w:tcW w:w="1592" w:type="dxa"/>
          </w:tcPr>
          <w:p w14:paraId="6F103479">
            <w:pPr>
              <w:spacing w:after="0" w:line="240" w:lineRule="auto"/>
              <w:jc w:val="center"/>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Emília Corrêa</w:t>
            </w:r>
          </w:p>
        </w:tc>
      </w:tr>
      <w:tr w14:paraId="56A40E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0E9D7525">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108/2024</w:t>
            </w:r>
          </w:p>
        </w:tc>
        <w:tc>
          <w:tcPr>
            <w:tcW w:w="5650" w:type="dxa"/>
          </w:tcPr>
          <w:p w14:paraId="679237A6">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Estabelece diretrizes para a implementação do Programa Municipal de Prevenção e Controle de Hipertensão Arterial Infantil Escolar – “Pressão Saudável”, no âmbito da Rede Pública Municipal de Educação Básica, do Município de Aracaju, na forma que indica.</w:t>
            </w:r>
          </w:p>
          <w:p w14:paraId="17D0DC3A">
            <w:pPr>
              <w:spacing w:after="0" w:line="240" w:lineRule="auto"/>
              <w:jc w:val="both"/>
              <w:rPr>
                <w:rFonts w:ascii="Times New Roman" w:hAnsi="Times New Roman" w:eastAsia="SimSun" w:cs="Times New Roman"/>
                <w:b/>
                <w:sz w:val="22"/>
                <w:szCs w:val="22"/>
                <w:lang w:eastAsia="pt-BR"/>
              </w:rPr>
            </w:pPr>
          </w:p>
        </w:tc>
        <w:tc>
          <w:tcPr>
            <w:tcW w:w="1966" w:type="dxa"/>
          </w:tcPr>
          <w:p w14:paraId="7F19A24C">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Dr. Manuel Marcos</w:t>
            </w:r>
          </w:p>
        </w:tc>
        <w:tc>
          <w:tcPr>
            <w:tcW w:w="1592" w:type="dxa"/>
          </w:tcPr>
          <w:p w14:paraId="62E8AA40">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Isac Silveira</w:t>
            </w:r>
          </w:p>
        </w:tc>
      </w:tr>
      <w:tr w14:paraId="1F8963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17A048B6">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109/2024</w:t>
            </w:r>
          </w:p>
        </w:tc>
        <w:tc>
          <w:tcPr>
            <w:tcW w:w="5650" w:type="dxa"/>
          </w:tcPr>
          <w:p w14:paraId="57E44E5E">
            <w:pPr>
              <w:spacing w:after="0" w:line="240" w:lineRule="auto"/>
              <w:jc w:val="both"/>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Declara a quadrilha junina Xodó da Vila como patrimônio cultural imaterial Município de Aracaju.</w:t>
            </w:r>
          </w:p>
          <w:p w14:paraId="1A74D45C">
            <w:pPr>
              <w:spacing w:after="0" w:line="240" w:lineRule="auto"/>
              <w:jc w:val="both"/>
              <w:rPr>
                <w:rFonts w:ascii="Times New Roman" w:hAnsi="Times New Roman" w:eastAsia="SimSun" w:cs="Times New Roman"/>
                <w:b/>
                <w:sz w:val="22"/>
                <w:szCs w:val="22"/>
                <w:lang w:eastAsia="pt-BR"/>
              </w:rPr>
            </w:pPr>
          </w:p>
        </w:tc>
        <w:tc>
          <w:tcPr>
            <w:tcW w:w="1966" w:type="dxa"/>
          </w:tcPr>
          <w:p w14:paraId="17CEAD48">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Breno Garibalde</w:t>
            </w:r>
          </w:p>
        </w:tc>
        <w:tc>
          <w:tcPr>
            <w:tcW w:w="1592" w:type="dxa"/>
          </w:tcPr>
          <w:p w14:paraId="687305F1">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Isac Silveira</w:t>
            </w:r>
          </w:p>
        </w:tc>
      </w:tr>
      <w:tr w14:paraId="247000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2EB99848">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110/2024</w:t>
            </w:r>
          </w:p>
        </w:tc>
        <w:tc>
          <w:tcPr>
            <w:tcW w:w="5650" w:type="dxa"/>
          </w:tcPr>
          <w:p w14:paraId="1B9AFC9F">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Declara a Quadrilha Junina Unidos em Asa Branca como</w:t>
            </w:r>
            <w:r>
              <w:rPr>
                <w:rFonts w:hint="default" w:ascii="Times New Roman" w:hAnsi="Times New Roman" w:eastAsia="SimSun" w:cs="Times New Roman"/>
                <w:b/>
                <w:sz w:val="22"/>
                <w:szCs w:val="22"/>
                <w:lang w:val="en-US" w:eastAsia="pt-BR"/>
              </w:rPr>
              <w:t xml:space="preserve"> </w:t>
            </w:r>
            <w:r>
              <w:rPr>
                <w:rFonts w:ascii="Times New Roman" w:hAnsi="Times New Roman" w:eastAsia="SimSun" w:cs="Times New Roman"/>
                <w:b/>
                <w:sz w:val="22"/>
                <w:szCs w:val="22"/>
                <w:lang w:eastAsia="pt-BR"/>
              </w:rPr>
              <w:t>patrimônio cultural imaterial do município de Aracaju.</w:t>
            </w:r>
          </w:p>
          <w:p w14:paraId="4355A33F">
            <w:pPr>
              <w:spacing w:after="0" w:line="240" w:lineRule="auto"/>
              <w:jc w:val="center"/>
              <w:rPr>
                <w:rFonts w:ascii="Times New Roman" w:hAnsi="Times New Roman" w:eastAsia="SimSun" w:cs="Times New Roman"/>
                <w:b/>
                <w:sz w:val="22"/>
                <w:szCs w:val="22"/>
                <w:lang w:eastAsia="pt-BR"/>
              </w:rPr>
            </w:pPr>
          </w:p>
        </w:tc>
        <w:tc>
          <w:tcPr>
            <w:tcW w:w="1966" w:type="dxa"/>
          </w:tcPr>
          <w:p w14:paraId="04EE0E89">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Breno Garibalde</w:t>
            </w:r>
          </w:p>
        </w:tc>
        <w:tc>
          <w:tcPr>
            <w:tcW w:w="1592" w:type="dxa"/>
          </w:tcPr>
          <w:p w14:paraId="5E9D0B7C">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Emília Corrêa</w:t>
            </w:r>
          </w:p>
        </w:tc>
      </w:tr>
      <w:tr w14:paraId="3C8B5C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1603C45B">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111/2024</w:t>
            </w:r>
          </w:p>
        </w:tc>
        <w:tc>
          <w:tcPr>
            <w:tcW w:w="5650" w:type="dxa"/>
          </w:tcPr>
          <w:p w14:paraId="0F28E557">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Denomina Rua Natália Alves Lucas a atual Rua A, Loteamento Rosa do Sol, no Bairro Soledade e dá providências correlatas.</w:t>
            </w:r>
          </w:p>
          <w:p w14:paraId="050F26B9">
            <w:pPr>
              <w:spacing w:after="0" w:line="240" w:lineRule="auto"/>
              <w:jc w:val="both"/>
              <w:rPr>
                <w:rFonts w:ascii="Times New Roman" w:hAnsi="Times New Roman" w:eastAsia="SimSun" w:cs="Times New Roman"/>
                <w:b/>
                <w:sz w:val="22"/>
                <w:szCs w:val="22"/>
                <w:lang w:eastAsia="pt-BR"/>
              </w:rPr>
            </w:pPr>
          </w:p>
        </w:tc>
        <w:tc>
          <w:tcPr>
            <w:tcW w:w="1966" w:type="dxa"/>
          </w:tcPr>
          <w:p w14:paraId="460795EC">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Elber Batalha </w:t>
            </w:r>
          </w:p>
        </w:tc>
        <w:tc>
          <w:tcPr>
            <w:tcW w:w="1592" w:type="dxa"/>
          </w:tcPr>
          <w:p w14:paraId="223C1622">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14:paraId="10B1B1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0D252196">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119/2024</w:t>
            </w:r>
          </w:p>
        </w:tc>
        <w:tc>
          <w:tcPr>
            <w:tcW w:w="5650" w:type="dxa"/>
          </w:tcPr>
          <w:p w14:paraId="51E6D2EB">
            <w:pPr>
              <w:spacing w:after="0" w:line="240" w:lineRule="auto"/>
              <w:jc w:val="both"/>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Institui política de prevenção e combate às enchentes, por meio de programa no âmbito do município de Aracaju e da outras providências. </w:t>
            </w:r>
          </w:p>
          <w:p w14:paraId="15375B51">
            <w:pPr>
              <w:spacing w:after="0" w:line="240" w:lineRule="auto"/>
              <w:jc w:val="both"/>
              <w:rPr>
                <w:rFonts w:ascii="Times New Roman" w:hAnsi="Times New Roman" w:eastAsia="SimSun" w:cs="Times New Roman"/>
                <w:b/>
                <w:sz w:val="22"/>
                <w:szCs w:val="22"/>
                <w:lang w:eastAsia="pt-BR"/>
              </w:rPr>
            </w:pPr>
          </w:p>
        </w:tc>
        <w:tc>
          <w:tcPr>
            <w:tcW w:w="1966" w:type="dxa"/>
          </w:tcPr>
          <w:p w14:paraId="4456E79C">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Sheyla Galba</w:t>
            </w:r>
          </w:p>
        </w:tc>
        <w:tc>
          <w:tcPr>
            <w:tcW w:w="1592" w:type="dxa"/>
          </w:tcPr>
          <w:p w14:paraId="54AFFCD8">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Sgt. Byron </w:t>
            </w:r>
          </w:p>
        </w:tc>
      </w:tr>
      <w:tr w14:paraId="2E21F2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31D30602">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nº 121/2024  </w:t>
            </w:r>
          </w:p>
        </w:tc>
        <w:tc>
          <w:tcPr>
            <w:tcW w:w="5650" w:type="dxa"/>
          </w:tcPr>
          <w:p w14:paraId="680A9B5B">
            <w:pPr>
              <w:spacing w:after="0" w:line="240" w:lineRule="auto"/>
              <w:jc w:val="both"/>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T</w:t>
            </w:r>
            <w:r>
              <w:rPr>
                <w:rFonts w:ascii="Times New Roman" w:hAnsi="Times New Roman" w:eastAsia="SimSun" w:cs="Times New Roman"/>
                <w:b/>
                <w:sz w:val="22"/>
                <w:szCs w:val="22"/>
                <w:lang w:eastAsia="pt-BR"/>
              </w:rPr>
              <w:t xml:space="preserve">orna obrigatório o fornecimento de água potável nos locais públicos, como orlas, parques, centros de artesanato, mercados municipais e feiras livres, no município de </w:t>
            </w:r>
            <w:r>
              <w:rPr>
                <w:rFonts w:hint="default" w:ascii="Times New Roman" w:hAnsi="Times New Roman" w:eastAsia="SimSun" w:cs="Times New Roman"/>
                <w:b/>
                <w:sz w:val="22"/>
                <w:szCs w:val="22"/>
                <w:lang w:val="en-US" w:eastAsia="pt-BR"/>
              </w:rPr>
              <w:t>A</w:t>
            </w:r>
            <w:r>
              <w:rPr>
                <w:rFonts w:ascii="Times New Roman" w:hAnsi="Times New Roman" w:eastAsia="SimSun" w:cs="Times New Roman"/>
                <w:b/>
                <w:sz w:val="22"/>
                <w:szCs w:val="22"/>
                <w:lang w:eastAsia="pt-BR"/>
              </w:rPr>
              <w:t>racaju.</w:t>
            </w:r>
          </w:p>
        </w:tc>
        <w:tc>
          <w:tcPr>
            <w:tcW w:w="1966" w:type="dxa"/>
          </w:tcPr>
          <w:p w14:paraId="4B48E374">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Sgt. Byron</w:t>
            </w:r>
          </w:p>
        </w:tc>
        <w:tc>
          <w:tcPr>
            <w:tcW w:w="1592" w:type="dxa"/>
          </w:tcPr>
          <w:p w14:paraId="47643C06">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14:paraId="76673A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20E9BEDA">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nº 123/2024 </w:t>
            </w:r>
          </w:p>
        </w:tc>
        <w:tc>
          <w:tcPr>
            <w:tcW w:w="5650" w:type="dxa"/>
          </w:tcPr>
          <w:p w14:paraId="4543F7C6">
            <w:pPr>
              <w:spacing w:after="0" w:line="240" w:lineRule="auto"/>
              <w:jc w:val="both"/>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D</w:t>
            </w:r>
            <w:r>
              <w:rPr>
                <w:rFonts w:ascii="Times New Roman" w:hAnsi="Times New Roman" w:eastAsia="SimSun" w:cs="Times New Roman"/>
                <w:b/>
                <w:sz w:val="22"/>
                <w:szCs w:val="22"/>
                <w:lang w:eastAsia="pt-BR"/>
              </w:rPr>
              <w:t xml:space="preserve">ispõe sobre a garantia, proteção e ampliação dos direitos das pessoas com transtorno do espectro autista no município de </w:t>
            </w:r>
            <w:r>
              <w:rPr>
                <w:rFonts w:hint="default" w:ascii="Times New Roman" w:hAnsi="Times New Roman" w:eastAsia="SimSun" w:cs="Times New Roman"/>
                <w:b/>
                <w:sz w:val="22"/>
                <w:szCs w:val="22"/>
                <w:lang w:val="en-US" w:eastAsia="pt-BR"/>
              </w:rPr>
              <w:t>A</w:t>
            </w:r>
            <w:r>
              <w:rPr>
                <w:rFonts w:ascii="Times New Roman" w:hAnsi="Times New Roman" w:eastAsia="SimSun" w:cs="Times New Roman"/>
                <w:b/>
                <w:sz w:val="22"/>
                <w:szCs w:val="22"/>
                <w:lang w:eastAsia="pt-BR"/>
              </w:rPr>
              <w:t>racaju e dá outras providências.</w:t>
            </w:r>
          </w:p>
          <w:p w14:paraId="66196970">
            <w:pPr>
              <w:spacing w:after="0" w:line="240" w:lineRule="auto"/>
              <w:jc w:val="both"/>
              <w:rPr>
                <w:rFonts w:ascii="Times New Roman" w:hAnsi="Times New Roman" w:eastAsia="SimSun" w:cs="Times New Roman"/>
                <w:b/>
                <w:sz w:val="22"/>
                <w:szCs w:val="22"/>
                <w:lang w:eastAsia="pt-BR"/>
              </w:rPr>
            </w:pPr>
          </w:p>
        </w:tc>
        <w:tc>
          <w:tcPr>
            <w:tcW w:w="1966" w:type="dxa"/>
          </w:tcPr>
          <w:p w14:paraId="26B9170A">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Isac Silveira</w:t>
            </w:r>
          </w:p>
        </w:tc>
        <w:tc>
          <w:tcPr>
            <w:tcW w:w="1592" w:type="dxa"/>
          </w:tcPr>
          <w:p w14:paraId="2677D447">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14:paraId="710A12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57222EE7">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Lei nº 134/2024</w:t>
            </w:r>
          </w:p>
        </w:tc>
        <w:tc>
          <w:tcPr>
            <w:tcW w:w="5650" w:type="dxa"/>
          </w:tcPr>
          <w:p w14:paraId="79F47512">
            <w:pPr>
              <w:spacing w:after="0" w:line="240" w:lineRule="auto"/>
              <w:jc w:val="both"/>
              <w:rPr>
                <w:rFonts w:ascii="Times New Roman" w:hAnsi="Times New Roman" w:eastAsia="SimSun" w:cs="Times New Roman"/>
                <w:b/>
                <w:sz w:val="22"/>
                <w:szCs w:val="22"/>
                <w:lang w:eastAsia="pt-BR"/>
              </w:rPr>
            </w:pPr>
            <w:r>
              <w:rPr>
                <w:rFonts w:hint="default" w:ascii="Times New Roman" w:hAnsi="Times New Roman" w:eastAsia="SimSun" w:cs="Times New Roman"/>
                <w:b/>
                <w:sz w:val="22"/>
                <w:szCs w:val="22"/>
                <w:lang w:val="en-US" w:eastAsia="pt-BR"/>
              </w:rPr>
              <w:t>I</w:t>
            </w:r>
            <w:r>
              <w:rPr>
                <w:rFonts w:ascii="Times New Roman" w:hAnsi="Times New Roman" w:eastAsia="SimSun" w:cs="Times New Roman"/>
                <w:b/>
                <w:sz w:val="22"/>
                <w:szCs w:val="22"/>
                <w:lang w:eastAsia="pt-BR"/>
              </w:rPr>
              <w:t xml:space="preserve">nclui o dia do vidraceiro no calendário de datas comemorativas do município de </w:t>
            </w:r>
            <w:r>
              <w:rPr>
                <w:rFonts w:hint="default" w:ascii="Times New Roman" w:hAnsi="Times New Roman" w:eastAsia="SimSun" w:cs="Times New Roman"/>
                <w:b/>
                <w:sz w:val="22"/>
                <w:szCs w:val="22"/>
                <w:lang w:val="en-US" w:eastAsia="pt-BR"/>
              </w:rPr>
              <w:t>A</w:t>
            </w:r>
            <w:r>
              <w:rPr>
                <w:rFonts w:ascii="Times New Roman" w:hAnsi="Times New Roman" w:eastAsia="SimSun" w:cs="Times New Roman"/>
                <w:b/>
                <w:sz w:val="22"/>
                <w:szCs w:val="22"/>
                <w:lang w:eastAsia="pt-BR"/>
              </w:rPr>
              <w:t>racaju.</w:t>
            </w:r>
          </w:p>
          <w:p w14:paraId="2340F9AB">
            <w:pPr>
              <w:spacing w:after="0" w:line="240" w:lineRule="auto"/>
              <w:jc w:val="both"/>
              <w:rPr>
                <w:rFonts w:ascii="Times New Roman" w:hAnsi="Times New Roman" w:eastAsia="SimSun" w:cs="Times New Roman"/>
                <w:b/>
                <w:sz w:val="22"/>
                <w:szCs w:val="22"/>
                <w:lang w:eastAsia="pt-BR"/>
              </w:rPr>
            </w:pPr>
            <w:bookmarkStart w:id="1" w:name="_GoBack"/>
            <w:bookmarkEnd w:id="1"/>
          </w:p>
        </w:tc>
        <w:tc>
          <w:tcPr>
            <w:tcW w:w="1966" w:type="dxa"/>
          </w:tcPr>
          <w:p w14:paraId="4DFD6CE1">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Camilo Daniel </w:t>
            </w:r>
          </w:p>
        </w:tc>
        <w:tc>
          <w:tcPr>
            <w:tcW w:w="1592" w:type="dxa"/>
          </w:tcPr>
          <w:p w14:paraId="33000335">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14:paraId="693A5C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7DD36A1A">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nº 136/2024 </w:t>
            </w:r>
          </w:p>
        </w:tc>
        <w:tc>
          <w:tcPr>
            <w:tcW w:w="5650" w:type="dxa"/>
          </w:tcPr>
          <w:p w14:paraId="277599B2">
            <w:pPr>
              <w:spacing w:after="0" w:line="240" w:lineRule="auto"/>
              <w:jc w:val="both"/>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Dá nova redação ao art. 12, da lei municipal nº 1.500, de 28 de setembro de 1989 e dá outras providências. </w:t>
            </w:r>
          </w:p>
          <w:p w14:paraId="214536BD">
            <w:pPr>
              <w:spacing w:after="0" w:line="240" w:lineRule="auto"/>
              <w:jc w:val="center"/>
              <w:rPr>
                <w:rFonts w:ascii="Times New Roman" w:hAnsi="Times New Roman" w:eastAsia="SimSun" w:cs="Times New Roman"/>
                <w:b/>
                <w:sz w:val="22"/>
                <w:szCs w:val="22"/>
                <w:lang w:eastAsia="pt-BR"/>
              </w:rPr>
            </w:pPr>
          </w:p>
        </w:tc>
        <w:tc>
          <w:tcPr>
            <w:tcW w:w="1966" w:type="dxa"/>
          </w:tcPr>
          <w:p w14:paraId="0F6B3B56">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Isac Silveira</w:t>
            </w:r>
          </w:p>
        </w:tc>
        <w:tc>
          <w:tcPr>
            <w:tcW w:w="1592" w:type="dxa"/>
          </w:tcPr>
          <w:p w14:paraId="004BF094">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Sgt. Byron </w:t>
            </w:r>
          </w:p>
        </w:tc>
      </w:tr>
      <w:tr w14:paraId="40FBEC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67BD9CF3">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62/2024</w:t>
            </w:r>
          </w:p>
        </w:tc>
        <w:tc>
          <w:tcPr>
            <w:tcW w:w="5650" w:type="dxa"/>
          </w:tcPr>
          <w:p w14:paraId="2782DB36">
            <w:pPr>
              <w:spacing w:after="0" w:line="240" w:lineRule="auto"/>
              <w:jc w:val="both"/>
              <w:rPr>
                <w:rFonts w:hint="default" w:ascii="Times New Roman" w:hAnsi="Times New Roman" w:eastAsia="SimSun" w:cs="Times New Roman"/>
                <w:b/>
                <w:sz w:val="22"/>
                <w:szCs w:val="22"/>
                <w:lang w:val="en-US" w:eastAsia="pt-BR"/>
              </w:rPr>
            </w:pPr>
            <w:r>
              <w:rPr>
                <w:rFonts w:ascii="Times New Roman" w:hAnsi="Times New Roman" w:eastAsia="SimSun" w:cs="Times New Roman"/>
                <w:b/>
                <w:sz w:val="22"/>
                <w:szCs w:val="22"/>
                <w:lang w:eastAsia="pt-BR"/>
              </w:rPr>
              <w:t>Moção de Aplausos ao SINDOMESTICA pela contribuição na Audiência Pública sobre Combate ao Trabalho Escravo, realizada na Câmara Municipal de Aracaju, no dia 10 de abril de 2024</w:t>
            </w:r>
            <w:r>
              <w:rPr>
                <w:rFonts w:hint="default" w:ascii="Times New Roman" w:hAnsi="Times New Roman" w:eastAsia="SimSun" w:cs="Times New Roman"/>
                <w:b/>
                <w:sz w:val="22"/>
                <w:szCs w:val="22"/>
                <w:lang w:val="en-US" w:eastAsia="pt-BR"/>
              </w:rPr>
              <w:t xml:space="preserve">. </w:t>
            </w:r>
          </w:p>
          <w:p w14:paraId="14200BEB">
            <w:pPr>
              <w:spacing w:after="0" w:line="240" w:lineRule="auto"/>
              <w:jc w:val="both"/>
              <w:rPr>
                <w:rFonts w:ascii="Times New Roman" w:hAnsi="Times New Roman" w:eastAsia="SimSun" w:cs="Times New Roman"/>
                <w:b/>
                <w:sz w:val="22"/>
                <w:szCs w:val="22"/>
                <w:lang w:eastAsia="pt-BR"/>
              </w:rPr>
            </w:pPr>
          </w:p>
        </w:tc>
        <w:tc>
          <w:tcPr>
            <w:tcW w:w="1966" w:type="dxa"/>
          </w:tcPr>
          <w:p w14:paraId="0BF036D5">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Sônia Meire</w:t>
            </w:r>
          </w:p>
        </w:tc>
        <w:tc>
          <w:tcPr>
            <w:tcW w:w="1592" w:type="dxa"/>
          </w:tcPr>
          <w:p w14:paraId="5730262A">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Isac Silveira</w:t>
            </w:r>
          </w:p>
        </w:tc>
      </w:tr>
      <w:tr w14:paraId="7A9550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025E9593">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65/2024</w:t>
            </w:r>
          </w:p>
        </w:tc>
        <w:tc>
          <w:tcPr>
            <w:tcW w:w="5650" w:type="dxa"/>
          </w:tcPr>
          <w:p w14:paraId="1D70AB42">
            <w:pPr>
              <w:spacing w:after="0" w:line="240" w:lineRule="auto"/>
              <w:jc w:val="both"/>
              <w:rPr>
                <w:rFonts w:hint="default" w:ascii="Times New Roman" w:hAnsi="Times New Roman" w:eastAsia="SimSun" w:cs="Times New Roman"/>
                <w:b/>
                <w:sz w:val="22"/>
                <w:szCs w:val="22"/>
                <w:lang w:val="en-US" w:eastAsia="pt-BR"/>
              </w:rPr>
            </w:pPr>
            <w:r>
              <w:rPr>
                <w:rFonts w:ascii="Times New Roman" w:hAnsi="Times New Roman" w:eastAsia="SimSun" w:cs="Times New Roman"/>
                <w:b/>
                <w:sz w:val="22"/>
                <w:szCs w:val="22"/>
                <w:lang w:eastAsia="pt-BR"/>
              </w:rPr>
              <w:t>Moção de Aplausos à Associação de Catadores e Catadoras de Mangaba Padre Luiz Lemper, pela realização da 3ª Festa da Colheita, realizada dia 02 de março de 2024, na Reserva Extrativista da Mangaba de Aracaju, localizada no bairro Santa Maria</w:t>
            </w:r>
            <w:r>
              <w:rPr>
                <w:rFonts w:hint="default" w:ascii="Times New Roman" w:hAnsi="Times New Roman" w:eastAsia="SimSun" w:cs="Times New Roman"/>
                <w:b/>
                <w:sz w:val="22"/>
                <w:szCs w:val="22"/>
                <w:lang w:val="en-US" w:eastAsia="pt-BR"/>
              </w:rPr>
              <w:t xml:space="preserve">. </w:t>
            </w:r>
          </w:p>
          <w:p w14:paraId="1FAF6876">
            <w:pPr>
              <w:spacing w:after="0" w:line="240" w:lineRule="auto"/>
              <w:jc w:val="both"/>
              <w:rPr>
                <w:rFonts w:ascii="Times New Roman" w:hAnsi="Times New Roman" w:eastAsia="SimSun" w:cs="Times New Roman"/>
                <w:b/>
                <w:sz w:val="22"/>
                <w:szCs w:val="22"/>
                <w:lang w:eastAsia="pt-BR"/>
              </w:rPr>
            </w:pPr>
          </w:p>
        </w:tc>
        <w:tc>
          <w:tcPr>
            <w:tcW w:w="1966" w:type="dxa"/>
          </w:tcPr>
          <w:p w14:paraId="2A4A9511">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Sônia Meire</w:t>
            </w:r>
          </w:p>
        </w:tc>
        <w:tc>
          <w:tcPr>
            <w:tcW w:w="1592" w:type="dxa"/>
          </w:tcPr>
          <w:p w14:paraId="2031B03E">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Isac Silveira</w:t>
            </w:r>
          </w:p>
        </w:tc>
      </w:tr>
      <w:tr w14:paraId="3DFFFA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79D00D4E">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66/2024</w:t>
            </w:r>
          </w:p>
        </w:tc>
        <w:tc>
          <w:tcPr>
            <w:tcW w:w="5650" w:type="dxa"/>
          </w:tcPr>
          <w:p w14:paraId="7259C2B5">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Moção de Aplausos ao Surfista Willyam Santana, que se encontra no Rio Grande do Sul, ajudando no resgate das vítimas do desastre ocorrido.</w:t>
            </w:r>
          </w:p>
          <w:p w14:paraId="268C1D89">
            <w:pPr>
              <w:spacing w:after="0" w:line="240" w:lineRule="auto"/>
              <w:jc w:val="both"/>
              <w:rPr>
                <w:rFonts w:ascii="Times New Roman" w:hAnsi="Times New Roman" w:eastAsia="SimSun" w:cs="Times New Roman"/>
                <w:b/>
                <w:sz w:val="22"/>
                <w:szCs w:val="22"/>
                <w:lang w:eastAsia="pt-BR"/>
              </w:rPr>
            </w:pPr>
          </w:p>
        </w:tc>
        <w:tc>
          <w:tcPr>
            <w:tcW w:w="1966" w:type="dxa"/>
          </w:tcPr>
          <w:p w14:paraId="2BE54E11">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Sgt. Byron </w:t>
            </w:r>
          </w:p>
        </w:tc>
        <w:tc>
          <w:tcPr>
            <w:tcW w:w="1592" w:type="dxa"/>
          </w:tcPr>
          <w:p w14:paraId="654B33B1">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14:paraId="2654E8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3E7DCA60">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67/2024</w:t>
            </w:r>
          </w:p>
        </w:tc>
        <w:tc>
          <w:tcPr>
            <w:tcW w:w="5650" w:type="dxa"/>
          </w:tcPr>
          <w:p w14:paraId="29FD3C5A">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Moção de Aplausos para os Enfermeiros: Airton Passos, Ingrid Fernandes Oliveira, Dênisson Andrade, Lorena Cerqueira e Ana Carolina Santana, do Hospital de Cirurgia.</w:t>
            </w:r>
          </w:p>
          <w:p w14:paraId="4FD02204">
            <w:pPr>
              <w:spacing w:after="0" w:line="240" w:lineRule="auto"/>
              <w:jc w:val="both"/>
              <w:rPr>
                <w:rFonts w:ascii="Times New Roman" w:hAnsi="Times New Roman" w:eastAsia="SimSun" w:cs="Times New Roman"/>
                <w:b/>
                <w:sz w:val="22"/>
                <w:szCs w:val="22"/>
                <w:lang w:eastAsia="pt-BR"/>
              </w:rPr>
            </w:pPr>
          </w:p>
        </w:tc>
        <w:tc>
          <w:tcPr>
            <w:tcW w:w="1966" w:type="dxa"/>
          </w:tcPr>
          <w:p w14:paraId="0757F88E">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Sgt. Byron </w:t>
            </w:r>
          </w:p>
        </w:tc>
        <w:tc>
          <w:tcPr>
            <w:tcW w:w="1592" w:type="dxa"/>
          </w:tcPr>
          <w:p w14:paraId="1042D789">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14:paraId="0B67C4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15" w:type="dxa"/>
          </w:tcPr>
          <w:p w14:paraId="1C314941">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68/2024</w:t>
            </w:r>
          </w:p>
        </w:tc>
        <w:tc>
          <w:tcPr>
            <w:tcW w:w="5650" w:type="dxa"/>
          </w:tcPr>
          <w:p w14:paraId="5DB2D171">
            <w:pPr>
              <w:spacing w:after="0" w:line="240" w:lineRule="auto"/>
              <w:jc w:val="both"/>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Moção de aplausos ao Prefeito do Município de Aracaju, Edvaldo Nogueira, pelo apoio fornecido a organização do Bloco das Mariposas, um tradicional bloco que desfila pelas ruas do bairro Olaria há mais de 10 anos, evento carnavalesco ocorrido no mesmo bairro que contou com a participação de mais de 50 mil pessoas neste ano.</w:t>
            </w:r>
          </w:p>
          <w:p w14:paraId="535C55A8">
            <w:pPr>
              <w:spacing w:after="0" w:line="240" w:lineRule="auto"/>
              <w:jc w:val="both"/>
              <w:rPr>
                <w:rFonts w:ascii="Times New Roman" w:hAnsi="Times New Roman" w:eastAsia="SimSun" w:cs="Times New Roman"/>
                <w:b/>
                <w:sz w:val="22"/>
                <w:szCs w:val="22"/>
                <w:lang w:eastAsia="pt-BR"/>
              </w:rPr>
            </w:pPr>
          </w:p>
        </w:tc>
        <w:tc>
          <w:tcPr>
            <w:tcW w:w="1966" w:type="dxa"/>
          </w:tcPr>
          <w:p w14:paraId="55479DD7">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c>
          <w:tcPr>
            <w:tcW w:w="1592" w:type="dxa"/>
          </w:tcPr>
          <w:p w14:paraId="10F36046">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bl>
    <w:p w14:paraId="517C4BE3"/>
    <w:sectPr>
      <w:headerReference r:id="rId5" w:type="default"/>
      <w:footerReference r:id="rId6" w:type="default"/>
      <w:pgSz w:w="11906" w:h="16838"/>
      <w:pgMar w:top="1701"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322C4D6">
    <w:pPr>
      <w:pStyle w:val="5"/>
      <w:jc w:val="center"/>
      <w:rPr>
        <w:rFonts w:ascii="Times New Roman" w:hAnsi="Times New Roman" w:cs="Times New Roman"/>
        <w:b/>
        <w:bCs/>
      </w:rPr>
    </w:pPr>
    <w:r>
      <w:rPr>
        <w:rFonts w:ascii="Times New Roman" w:hAnsi="Times New Roman" w:cs="Times New Roman"/>
        <w:b/>
        <w:bCs/>
      </w:rPr>
      <w:t>Praça Olímpio Campos, 74 – Centro CEP. 49010-010 Fone (079) 2107-4800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77C4B00">
    <w:pPr>
      <w:pStyle w:val="4"/>
      <w:jc w:val="center"/>
    </w:pPr>
    <w:r>
      <w:rPr>
        <w:lang w:eastAsia="pt-BR"/>
      </w:rPr>
      <w:drawing>
        <wp:inline distT="0" distB="0" distL="0" distR="0">
          <wp:extent cx="857250" cy="857250"/>
          <wp:effectExtent l="0" t="0" r="0" b="0"/>
          <wp:docPr id="1" name="Imagem 1" descr="logo_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p>
  <w:p w14:paraId="040EEA55">
    <w:pPr>
      <w:pStyle w:val="4"/>
      <w:jc w:val="center"/>
      <w:rPr>
        <w:rFonts w:ascii="Times New Roman" w:hAnsi="Times New Roman" w:cs="Times New Roman"/>
        <w:b/>
        <w:sz w:val="20"/>
      </w:rPr>
    </w:pPr>
    <w:r>
      <w:rPr>
        <w:rFonts w:ascii="Times New Roman" w:hAnsi="Times New Roman" w:cs="Times New Roman"/>
        <w:b/>
        <w:sz w:val="20"/>
      </w:rPr>
      <w:t>ESTADO DE SERGIPE</w:t>
    </w:r>
  </w:p>
  <w:p w14:paraId="3B8D79FA">
    <w:pPr>
      <w:pStyle w:val="4"/>
      <w:jc w:val="center"/>
      <w:rPr>
        <w:rFonts w:ascii="Times New Roman" w:hAnsi="Times New Roman" w:cs="Times New Roman"/>
        <w:b/>
        <w:sz w:val="20"/>
      </w:rPr>
    </w:pPr>
    <w:r>
      <w:rPr>
        <w:rFonts w:ascii="Times New Roman" w:hAnsi="Times New Roman" w:cs="Times New Roman"/>
        <w:b/>
        <w:sz w:val="20"/>
      </w:rPr>
      <w:t>CÂMARA MUNICIPAL DE ARACAJU</w:t>
    </w:r>
  </w:p>
  <w:p w14:paraId="6DE5617F">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8313B"/>
    <w:rsid w:val="0F083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252"/>
        <w:tab w:val="right" w:pos="8504"/>
      </w:tabs>
      <w:spacing w:after="0" w:line="240" w:lineRule="auto"/>
    </w:pPr>
  </w:style>
  <w:style w:type="paragraph" w:styleId="5">
    <w:name w:val="footer"/>
    <w:basedOn w:val="1"/>
    <w:unhideWhenUsed/>
    <w:qFormat/>
    <w:uiPriority w:val="99"/>
    <w:pPr>
      <w:tabs>
        <w:tab w:val="center" w:pos="4252"/>
        <w:tab w:val="right" w:pos="8504"/>
      </w:tabs>
      <w:spacing w:after="0" w:line="240" w:lineRule="auto"/>
    </w:pPr>
  </w:style>
  <w:style w:type="table" w:styleId="6">
    <w:name w:val="Table Grid"/>
    <w:basedOn w:val="3"/>
    <w:qFormat/>
    <w:uiPriority w:val="59"/>
    <w:pPr>
      <w:spacing w:after="0" w:line="240" w:lineRule="auto"/>
    </w:pPr>
    <w:rPr>
      <w:rFonts w:ascii="Times New Roman" w:hAnsi="Times New Roman" w:eastAsia="SimSu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western"/>
    <w:basedOn w:val="1"/>
    <w:autoRedefine/>
    <w:qFormat/>
    <w:uiPriority w:val="0"/>
    <w:pPr>
      <w:spacing w:before="100" w:beforeAutospacing="1" w:after="119" w:line="240" w:lineRule="auto"/>
    </w:pPr>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2024-06-25T13:18:00Z</dcterms:created>
  <dc:creator>Alexsandro Carvalho</dc:creator>
  <cp:lastModifiedBy>Alexsandro Carvalho</cp:lastModifiedBy>
  <dcterms:modified xsi:type="dcterms:W3CDTF">2024-06-25T14:03:42Z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1046-12.2.0.17119</vt:lpwstr>
  </property>
  <property fmtid="{D5CDD505-2E9C-101B-9397-08002B2CF9AE}" pid="3" name="ICV">
    <vt:lpwstr>25B9B97E48EA43748DB2DAC86E2C7BB0_11</vt:lpwstr>
  </property>
</Properties>
</file>